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87"/>
        <w:gridCol w:w="4391"/>
      </w:tblGrid>
      <w:tr w:rsidR="0078128D" w:rsidTr="003B4C42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B4C42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シメチジン錠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400mg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B234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087" w:type="dxa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7D3CB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シメチジン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038D8">
              <w:rPr>
                <w:rFonts w:ascii="Verdana" w:eastAsia="ＭＳ Ｐ明朝" w:hAnsi="Verdana" w:hint="eastAsia"/>
                <w:sz w:val="22"/>
              </w:rPr>
              <w:t>シメチジン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7038D8">
              <w:rPr>
                <w:rFonts w:ascii="Verdana" w:eastAsia="ＭＳ Ｐ明朝" w:hAnsi="Verdana" w:hint="eastAsia"/>
                <w:sz w:val="22"/>
              </w:rPr>
              <w:t>400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038D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:rsidTr="003B4C42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087" w:type="dxa"/>
            <w:tcBorders>
              <w:left w:val="single" w:sz="18" w:space="0" w:color="auto"/>
            </w:tcBorders>
          </w:tcPr>
          <w:p w:rsidR="0078128D" w:rsidRDefault="007038D8" w:rsidP="006B4A0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</w:t>
            </w:r>
            <w:r w:rsidR="006B4A05">
              <w:rPr>
                <w:rFonts w:ascii="Verdana" w:eastAsia="ＭＳ Ｐ明朝" w:hAnsi="Verdana" w:hint="eastAsia"/>
              </w:rPr>
              <w:t>9</w:t>
            </w:r>
            <w:r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91" w:type="dxa"/>
            <w:tcBorders>
              <w:right w:val="single" w:sz="18" w:space="0" w:color="auto"/>
            </w:tcBorders>
          </w:tcPr>
          <w:p w:rsidR="0078128D" w:rsidRDefault="00BB6B36" w:rsidP="006B4A0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BB6B36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500287" w:rsidTr="00D60FFF">
        <w:trPr>
          <w:cantSplit/>
          <w:trHeight w:val="68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038D8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</w:t>
            </w:r>
            <w:proofErr w:type="spellStart"/>
            <w:r>
              <w:rPr>
                <w:rStyle w:val="main-contents1"/>
                <w:rFonts w:eastAsia="ＭＳ Ｐ明朝" w:hint="eastAsia"/>
              </w:rPr>
              <w:t>Zollinger</w:t>
            </w:r>
            <w:proofErr w:type="spellEnd"/>
            <w:r>
              <w:rPr>
                <w:rStyle w:val="main-contents1"/>
                <w:rFonts w:eastAsia="ＭＳ Ｐ明朝" w:hint="eastAsia"/>
              </w:rPr>
              <w:t>-Ellison</w:t>
            </w:r>
            <w:r>
              <w:rPr>
                <w:rStyle w:val="main-contents1"/>
                <w:rFonts w:eastAsia="ＭＳ Ｐ明朝" w:hint="eastAsia"/>
              </w:rPr>
              <w:t>症候群、逆流性食道炎、上部消化管出血（消化性潰瘍、急性ストレス潰瘍、出血性胃炎による）</w:t>
            </w:r>
          </w:p>
          <w:p w:rsidR="00500287" w:rsidRDefault="00500287" w:rsidP="007038D8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:rsidR="00500287" w:rsidRDefault="00500287" w:rsidP="007038D8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500287" w:rsidTr="003D68CA">
        <w:trPr>
          <w:cantSplit/>
          <w:trHeight w:val="225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038D8">
            <w:pPr>
              <w:snapToGrid w:val="0"/>
              <w:spacing w:line="240" w:lineRule="exact"/>
              <w:ind w:left="227" w:hanging="227"/>
              <w:rPr>
                <w:rStyle w:val="main-contents1"/>
                <w:rFonts w:eastAsia="ＭＳ Ｐゴシック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胃潰瘍、十二指腸潰瘍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回（毎食後及び就寝前）に分割もしくは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  <w:p w:rsidR="00500287" w:rsidRDefault="00500287" w:rsidP="007038D8">
            <w:pPr>
              <w:snapToGrid w:val="0"/>
              <w:spacing w:line="240" w:lineRule="exact"/>
              <w:rPr>
                <w:rStyle w:val="main-contents1"/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吻合部潰瘍、</w:t>
            </w:r>
            <w:proofErr w:type="spellStart"/>
            <w:r w:rsidRPr="00CA16D9">
              <w:rPr>
                <w:rFonts w:ascii="Verdana" w:eastAsia="ＭＳ Ｐゴシック" w:hAnsi="Verdana"/>
                <w:sz w:val="20"/>
              </w:rPr>
              <w:t>Zollinger</w:t>
            </w:r>
            <w:proofErr w:type="spellEnd"/>
            <w:r w:rsidRPr="00CA16D9">
              <w:rPr>
                <w:rFonts w:ascii="Verdana" w:eastAsia="ＭＳ Ｐゴシック" w:hAnsi="Verdana"/>
                <w:sz w:val="20"/>
              </w:rPr>
              <w:t>-Ellison</w:t>
            </w:r>
            <w:r>
              <w:rPr>
                <w:rFonts w:ascii="ＭＳ Ｐゴシック" w:eastAsia="ＭＳ Ｐゴシック" w:hAnsi="ＭＳ Ｐゴシック"/>
                <w:sz w:val="20"/>
              </w:rPr>
              <w:t>症候群、逆流性食道炎、上部消化管出血（消化性潰瘍、急性ストレス潰瘍、出血性胃炎による）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回（毎食後及び就寝前）に分割して投与することもできる。なお、年齢・症状により適宜増減する。</w:t>
            </w:r>
          </w:p>
          <w:p w:rsidR="00500287" w:rsidRDefault="00500287" w:rsidP="007038D8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ただし、上部消化管出血の場合には、通常注射剤で治療を開始し、内服可能となった</w:t>
            </w:r>
            <w:r>
              <w:rPr>
                <w:rFonts w:ascii="Verdana" w:eastAsia="ＭＳ Ｐ明朝" w:hAnsi="Verdana" w:hint="eastAsia"/>
                <w:sz w:val="20"/>
              </w:rPr>
              <w:t>後</w:t>
            </w:r>
            <w:r>
              <w:rPr>
                <w:rFonts w:ascii="Verdana" w:eastAsia="ＭＳ Ｐ明朝" w:hAnsi="Verdana"/>
                <w:sz w:val="20"/>
              </w:rPr>
              <w:t>は経口投与に切り</w:t>
            </w:r>
            <w:r>
              <w:rPr>
                <w:rFonts w:ascii="Verdana" w:eastAsia="ＭＳ Ｐ明朝" w:hAnsi="Verdana" w:hint="eastAsia"/>
                <w:sz w:val="20"/>
              </w:rPr>
              <w:t>か</w:t>
            </w:r>
            <w:r>
              <w:rPr>
                <w:rFonts w:ascii="Verdana" w:eastAsia="ＭＳ Ｐ明朝" w:hAnsi="Verdana"/>
                <w:sz w:val="20"/>
              </w:rPr>
              <w:t>える。</w:t>
            </w:r>
          </w:p>
          <w:p w:rsidR="00500287" w:rsidRDefault="00500287" w:rsidP="007038D8">
            <w:pPr>
              <w:snapToGrid w:val="0"/>
              <w:spacing w:line="240" w:lineRule="exac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下記疾患の胃粘膜病変（びらん、出血、発赤、浮腫）の改善　急性胃炎、慢性胃炎の急性増悪期</w:t>
            </w:r>
          </w:p>
          <w:p w:rsidR="00500287" w:rsidRPr="0078128D" w:rsidRDefault="00500287" w:rsidP="007038D8">
            <w:pPr>
              <w:snapToGrid w:val="0"/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400mg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</w:tc>
      </w:tr>
      <w:tr w:rsidR="00500287" w:rsidTr="007D207A">
        <w:trPr>
          <w:cantSplit/>
          <w:trHeight w:val="25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500287" w:rsidRDefault="00500287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4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287" w:rsidRDefault="00500287" w:rsidP="0078128D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3B4C42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:rsidR="00500287" w:rsidRPr="00500287" w:rsidRDefault="00500287" w:rsidP="00500287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3B4C42">
              <w:rPr>
                <w:rFonts w:ascii="Verdana" w:eastAsia="ＭＳ Ｐ明朝" w:hAnsi="Verdana" w:hint="eastAsia"/>
                <w:sz w:val="18"/>
                <w:szCs w:val="18"/>
              </w:rPr>
              <w:t>気密容器、</w:t>
            </w:r>
            <w:r w:rsidRPr="003B4C42">
              <w:rPr>
                <w:rFonts w:ascii="Verdana" w:eastAsia="ＭＳ Ｐ明朝" w:hAnsi="Verdana"/>
                <w:sz w:val="18"/>
                <w:szCs w:val="18"/>
              </w:rPr>
              <w:t>室温保存</w:t>
            </w:r>
          </w:p>
        </w:tc>
      </w:tr>
      <w:tr w:rsidR="0078128D" w:rsidTr="005F7508">
        <w:trPr>
          <w:cantSplit/>
          <w:trHeight w:val="27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08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50028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08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038D8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乳糖水和物、ヒドロキシプロピルセルロース、クロスポビドン、ステアリン酸マグネシウム、ヒプロメロース、酸化チタン、マクロゴール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</w:rPr>
              <w:t>、カルナウバロウ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038D8" w:rsidRDefault="00500287" w:rsidP="00500287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038D8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/>
                <w:sz w:val="20"/>
              </w:rPr>
              <w:t>白</w:t>
            </w:r>
            <w:r>
              <w:rPr>
                <w:rFonts w:ascii="ＭＳ Ｐ明朝" w:eastAsia="ＭＳ Ｐ明朝" w:hint="eastAsia"/>
                <w:sz w:val="20"/>
              </w:rPr>
              <w:t>色</w:t>
            </w:r>
            <w:r>
              <w:rPr>
                <w:rFonts w:ascii="ＭＳ Ｐ明朝" w:eastAsia="ＭＳ Ｐ明朝"/>
                <w:sz w:val="20"/>
              </w:rPr>
              <w:t>～微黄白色</w:t>
            </w:r>
            <w:r>
              <w:rPr>
                <w:rFonts w:ascii="ＭＳ Ｐ明朝" w:eastAsia="ＭＳ Ｐ明朝" w:hint="eastAsia"/>
                <w:sz w:val="20"/>
              </w:rPr>
              <w:t>の</w:t>
            </w:r>
            <w:r>
              <w:rPr>
                <w:rFonts w:ascii="ＭＳ Ｐ明朝" w:eastAsia="ＭＳ Ｐ明朝"/>
                <w:sz w:val="20"/>
              </w:rPr>
              <w:t>フィルムコー</w:t>
            </w:r>
            <w:r>
              <w:rPr>
                <w:rFonts w:ascii="ＭＳ Ｐ明朝" w:eastAsia="ＭＳ Ｐ明朝" w:hint="eastAsia"/>
                <w:sz w:val="20"/>
              </w:rPr>
              <w:t>ティング</w:t>
            </w:r>
            <w:r>
              <w:rPr>
                <w:rFonts w:ascii="ＭＳ Ｐ明朝" w:eastAsia="ＭＳ Ｐ明朝"/>
                <w:sz w:val="20"/>
              </w:rPr>
              <w:t>錠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F0327">
        <w:trPr>
          <w:cantSplit/>
          <w:trHeight w:val="815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640F3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6B93C02A" wp14:editId="1E3FFF40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37465</wp:posOffset>
                  </wp:positionV>
                  <wp:extent cx="423545" cy="402590"/>
                  <wp:effectExtent l="0" t="0" r="0" b="0"/>
                  <wp:wrapNone/>
                  <wp:docPr id="8" name="図 8" descr=" ksk117断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ksk117断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182FF49F" wp14:editId="02C83E59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23495</wp:posOffset>
                  </wp:positionV>
                  <wp:extent cx="428625" cy="406400"/>
                  <wp:effectExtent l="0" t="0" r="9525" b="0"/>
                  <wp:wrapNone/>
                  <wp:docPr id="7" name="図 7" descr=" ksk117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ksk117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2D306A0E" wp14:editId="356166D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27940</wp:posOffset>
                  </wp:positionV>
                  <wp:extent cx="381000" cy="412750"/>
                  <wp:effectExtent l="0" t="0" r="0" b="6350"/>
                  <wp:wrapNone/>
                  <wp:docPr id="6" name="図 6" descr=" ksk117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ksk117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5F7508" w:rsidP="005F750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471mg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5640F3">
              <w:rPr>
                <w:rFonts w:ascii="Verdana" w:eastAsia="ＭＳ Ｐ明朝" w:hAnsi="Verdana" w:hint="eastAsia"/>
                <w:sz w:val="20"/>
              </w:rPr>
              <w:t>11.1mm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5.2mm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00287" w:rsidP="005F750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F0327">
        <w:trPr>
          <w:cantSplit/>
          <w:trHeight w:val="261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5640F3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1F0327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B4C42">
        <w:trPr>
          <w:cantSplit/>
          <w:trHeight w:val="4077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0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5033D3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</w:t>
            </w:r>
            <w:r w:rsidR="007D6DED">
              <w:rPr>
                <w:rFonts w:ascii="Verdana" w:eastAsia="ＭＳ Ｐ明朝" w:hAnsi="Verdana" w:hint="eastAsia"/>
                <w:sz w:val="20"/>
              </w:rPr>
              <w:t>含量</w:t>
            </w:r>
            <w:r w:rsidR="006B4A05">
              <w:rPr>
                <w:rFonts w:ascii="Verdana" w:eastAsia="ＭＳ Ｐ明朝" w:hAnsi="Verdana" w:hint="eastAsia"/>
                <w:sz w:val="20"/>
              </w:rPr>
              <w:t>が異なる経口固形製剤</w:t>
            </w:r>
            <w:r>
              <w:rPr>
                <w:rFonts w:ascii="Verdana" w:eastAsia="ＭＳ Ｐ明朝" w:hAnsi="Verdana" w:hint="eastAsia"/>
                <w:sz w:val="20"/>
              </w:rPr>
              <w:t>の生物学的同等性試験ガイドライン」に基づき</w:t>
            </w:r>
            <w:r w:rsidR="007F368F">
              <w:rPr>
                <w:rFonts w:ascii="Verdana" w:eastAsia="ＭＳ Ｐ明朝" w:hAnsi="Verdana" w:hint="eastAsia"/>
                <w:sz w:val="20"/>
              </w:rPr>
              <w:t>、</w:t>
            </w:r>
            <w:r>
              <w:rPr>
                <w:rFonts w:ascii="Verdana" w:eastAsia="ＭＳ Ｐ明朝" w:hAnsi="Verdana" w:hint="eastAsia"/>
                <w:sz w:val="20"/>
              </w:rPr>
              <w:t>両製剤の溶出挙動は同等であると判断された。</w:t>
            </w:r>
          </w:p>
          <w:p w:rsidR="0078128D" w:rsidRDefault="005640F3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085DD9BF" wp14:editId="1377225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5080</wp:posOffset>
                  </wp:positionV>
                  <wp:extent cx="2447925" cy="16859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82" t="18230" r="65820" b="58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91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640F3" w:rsidRPr="005640F3" w:rsidRDefault="005640F3" w:rsidP="005640F3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 w:rsidRPr="005640F3"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Pr="006B4A05" w:rsidRDefault="007D3CB5" w:rsidP="005640F3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480060</wp:posOffset>
                      </wp:positionV>
                      <wp:extent cx="1228725" cy="2286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980BF" id="正方形/長方形 1" o:spid="_x0000_s1026" style="position:absolute;left:0;text-align:left;margin-left:110.1pt;margin-top:37.8pt;width:96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" fillcolor="white [3212]" strokecolor="white [3212]" strokeweight="1pt"/>
                  </w:pict>
                </mc:Fallback>
              </mc:AlternateContent>
            </w:r>
            <w:r w:rsidR="007F368F" w:rsidRPr="007F368F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7F368F">
              <w:rPr>
                <w:rFonts w:ascii="Verdana" w:eastAsia="ＭＳ Ｐ明朝" w:hAnsi="Verdana" w:hint="eastAsia"/>
                <w:sz w:val="20"/>
              </w:rPr>
              <w:t>シメチジン錠</w:t>
            </w:r>
            <w:r w:rsidR="007F368F">
              <w:rPr>
                <w:rFonts w:ascii="Verdana" w:eastAsia="ＭＳ Ｐ明朝" w:hAnsi="Verdana" w:hint="eastAsia"/>
                <w:sz w:val="20"/>
              </w:rPr>
              <w:t>200mg</w:t>
            </w:r>
            <w:r w:rsidR="007F368F">
              <w:rPr>
                <w:rFonts w:ascii="Verdana" w:eastAsia="ＭＳ Ｐ明朝" w:hAnsi="Verdana" w:hint="eastAsia"/>
                <w:sz w:val="20"/>
              </w:rPr>
              <w:t>「クニヒロ」と標準製剤（</w:t>
            </w:r>
            <w:r w:rsidR="007F368F">
              <w:rPr>
                <w:rFonts w:ascii="Verdana" w:eastAsia="ＭＳ Ｐ明朝" w:hAnsi="Verdana" w:hint="eastAsia"/>
                <w:sz w:val="20"/>
              </w:rPr>
              <w:t>200mg</w:t>
            </w:r>
            <w:r w:rsidR="007F368F">
              <w:rPr>
                <w:rFonts w:ascii="Verdana" w:eastAsia="ＭＳ Ｐ明朝" w:hAnsi="Verdana" w:hint="eastAsia"/>
                <w:sz w:val="20"/>
              </w:rPr>
              <w:t>）の</w:t>
            </w:r>
            <w:r w:rsidR="007F368F" w:rsidRPr="007F368F">
              <w:rPr>
                <w:rFonts w:ascii="Verdana" w:eastAsia="ＭＳ Ｐ明朝" w:hAnsi="Verdana" w:hint="eastAsia"/>
                <w:sz w:val="20"/>
              </w:rPr>
              <w:t>生物学的同等性が確認された</w:t>
            </w:r>
            <w:r w:rsidR="006B4A05">
              <w:rPr>
                <w:rFonts w:ascii="Verdana" w:eastAsia="ＭＳ Ｐ明朝" w:hAnsi="Verdana" w:hint="eastAsia"/>
                <w:sz w:val="20"/>
              </w:rPr>
              <w:t>。</w:t>
            </w:r>
          </w:p>
          <w:p w:rsidR="0078128D" w:rsidRDefault="001E39B2" w:rsidP="005640F3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7A4A752C" wp14:editId="157E0EE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6985</wp:posOffset>
                  </wp:positionV>
                  <wp:extent cx="2466975" cy="1881965"/>
                  <wp:effectExtent l="0" t="0" r="0" b="444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0" t="48306" r="50879" b="1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28D" w:rsidTr="005640F3">
        <w:trPr>
          <w:trHeight w:val="12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640F3">
        <w:trPr>
          <w:trHeight w:val="11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4704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624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684D6D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B6B36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36" w:rsidRDefault="00BB6B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4197E"/>
    <w:rsid w:val="001A2E78"/>
    <w:rsid w:val="001B2264"/>
    <w:rsid w:val="001E1012"/>
    <w:rsid w:val="001E39B2"/>
    <w:rsid w:val="001F0327"/>
    <w:rsid w:val="00247131"/>
    <w:rsid w:val="00270FD2"/>
    <w:rsid w:val="0029519A"/>
    <w:rsid w:val="00362123"/>
    <w:rsid w:val="00366D5E"/>
    <w:rsid w:val="003B4C42"/>
    <w:rsid w:val="00423D72"/>
    <w:rsid w:val="004409F3"/>
    <w:rsid w:val="004704F3"/>
    <w:rsid w:val="0047183A"/>
    <w:rsid w:val="004A74DA"/>
    <w:rsid w:val="004B5366"/>
    <w:rsid w:val="00500287"/>
    <w:rsid w:val="005033D3"/>
    <w:rsid w:val="00506E57"/>
    <w:rsid w:val="005204EE"/>
    <w:rsid w:val="00522B31"/>
    <w:rsid w:val="00523903"/>
    <w:rsid w:val="005616C9"/>
    <w:rsid w:val="005640F3"/>
    <w:rsid w:val="00582241"/>
    <w:rsid w:val="005879C7"/>
    <w:rsid w:val="005F7508"/>
    <w:rsid w:val="00657659"/>
    <w:rsid w:val="0066466D"/>
    <w:rsid w:val="00684D6D"/>
    <w:rsid w:val="006B4A05"/>
    <w:rsid w:val="007038D8"/>
    <w:rsid w:val="00775A9B"/>
    <w:rsid w:val="0078128D"/>
    <w:rsid w:val="007D3CB5"/>
    <w:rsid w:val="007D6DED"/>
    <w:rsid w:val="007F368F"/>
    <w:rsid w:val="0087620E"/>
    <w:rsid w:val="008A19A3"/>
    <w:rsid w:val="008F7BE3"/>
    <w:rsid w:val="009620EE"/>
    <w:rsid w:val="0096212E"/>
    <w:rsid w:val="009666F7"/>
    <w:rsid w:val="00A03BCF"/>
    <w:rsid w:val="00B12372"/>
    <w:rsid w:val="00B234C1"/>
    <w:rsid w:val="00BA511B"/>
    <w:rsid w:val="00BB6B36"/>
    <w:rsid w:val="00C7264C"/>
    <w:rsid w:val="00D635C7"/>
    <w:rsid w:val="00D80BE1"/>
    <w:rsid w:val="00DB6AD3"/>
    <w:rsid w:val="00EC13B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Kishida Satomi</cp:lastModifiedBy>
  <cp:revision>4</cp:revision>
  <cp:lastPrinted>2020-03-26T08:53:00Z</cp:lastPrinted>
  <dcterms:created xsi:type="dcterms:W3CDTF">2024-03-19T05:17:00Z</dcterms:created>
  <dcterms:modified xsi:type="dcterms:W3CDTF">2024-03-19T23:55:00Z</dcterms:modified>
  <cp:contentStatus/>
</cp:coreProperties>
</file>